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E" w:rsidRDefault="00B763BE" w:rsidP="00B763BE">
      <w:pPr>
        <w:pStyle w:val="Style5"/>
        <w:widowControl/>
        <w:ind w:firstLine="1080"/>
        <w:jc w:val="center"/>
        <w:rPr>
          <w:rStyle w:val="FontStyle32"/>
          <w:position w:val="-7"/>
          <w:sz w:val="28"/>
          <w:szCs w:val="28"/>
        </w:rPr>
      </w:pPr>
      <w:r>
        <w:rPr>
          <w:rStyle w:val="FontStyle32"/>
          <w:position w:val="-7"/>
          <w:sz w:val="28"/>
          <w:szCs w:val="28"/>
        </w:rPr>
        <w:t>РЕКОМЕНДАЦИИ</w:t>
      </w:r>
    </w:p>
    <w:p w:rsidR="00B763BE" w:rsidRDefault="00B763BE" w:rsidP="00B763BE">
      <w:pPr>
        <w:pStyle w:val="Style7"/>
        <w:widowControl/>
        <w:ind w:firstLine="1080"/>
        <w:jc w:val="center"/>
      </w:pPr>
      <w:r>
        <w:rPr>
          <w:sz w:val="28"/>
          <w:szCs w:val="28"/>
        </w:rPr>
        <w:t>лицам, замещающим муниципальные должности, муниципальным служащим  по применению Федерального закона от 3 декабря 2012 года</w:t>
      </w:r>
    </w:p>
    <w:p w:rsidR="00B763BE" w:rsidRDefault="00B763BE" w:rsidP="00B763BE">
      <w:pPr>
        <w:pStyle w:val="Style7"/>
        <w:widowControl/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B763BE" w:rsidRDefault="00B763BE" w:rsidP="00B763BE">
      <w:pPr>
        <w:pStyle w:val="Style7"/>
        <w:widowControl/>
        <w:ind w:firstLine="1080"/>
        <w:jc w:val="center"/>
        <w:rPr>
          <w:sz w:val="20"/>
          <w:szCs w:val="20"/>
        </w:rPr>
      </w:pPr>
      <w:bookmarkStart w:id="0" w:name="_GoBack"/>
      <w:bookmarkEnd w:id="0"/>
    </w:p>
    <w:p w:rsidR="00B763BE" w:rsidRDefault="00B763BE" w:rsidP="00B763BE">
      <w:pPr>
        <w:pStyle w:val="Style7"/>
        <w:widowControl/>
        <w:ind w:firstLine="1080"/>
        <w:rPr>
          <w:rStyle w:val="FontStyle35"/>
        </w:rPr>
      </w:pPr>
    </w:p>
    <w:p w:rsidR="00B763BE" w:rsidRDefault="00B763BE" w:rsidP="00B763BE">
      <w:pPr>
        <w:pStyle w:val="Style4"/>
        <w:widowControl/>
        <w:ind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рекомендации разработаны во исполнение подпункта «а» пункта 25 Указа Президента Российской Федерации от 2 апреля 2013 года  № 309 «О мерах по реализации отдельных положений Федерального закона «О противодействии коррупции», Закона Оренбургской области от                      12 сентября 2013 года № 1747/523-V-ОЗ «О предоставлении сведений о расходах лицами, замещающими государственные должности Оренбургской области, и иными лицами и о контроле за расходами указанных</w:t>
      </w:r>
      <w:proofErr w:type="gramEnd"/>
      <w:r>
        <w:rPr>
          <w:sz w:val="28"/>
          <w:szCs w:val="28"/>
        </w:rPr>
        <w:t xml:space="preserve"> лиц» на основе рекомендаций, разработанных </w:t>
      </w:r>
      <w:r>
        <w:rPr>
          <w:rStyle w:val="FontStyle33"/>
          <w:b w:val="0"/>
          <w:sz w:val="28"/>
          <w:szCs w:val="28"/>
        </w:rPr>
        <w:t>Управлением государственной гражданской службы и кадровой работы</w:t>
      </w:r>
      <w:r>
        <w:rPr>
          <w:sz w:val="28"/>
          <w:szCs w:val="28"/>
        </w:rPr>
        <w:t xml:space="preserve"> Аппарата Губернатора и Правительства Оренбургской области. 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№ 230-ФЗ), Законом Оренбургской области от                      12 сентября 2013 года № 1747/523-V-ОЗ «О предоставлении сведений о расходах лицами, замещающими государственные должности Оренбургской области, и иными лицами и о контроле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расходами указанных лиц» лица, замещающие (занимающие) одну из должностей, указанных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пункте 1 части 1 статьи 2</w:t>
        </w:r>
      </w:hyperlink>
      <w:r>
        <w:rPr>
          <w:sz w:val="28"/>
          <w:szCs w:val="28"/>
        </w:rPr>
        <w:t xml:space="preserve"> Федерального закона № 230-ФЗ,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>
        <w:rPr>
          <w:sz w:val="28"/>
          <w:szCs w:val="28"/>
        </w:rPr>
        <w:t xml:space="preserve">) (далее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 сделка),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B763BE" w:rsidRDefault="00B763BE" w:rsidP="00B763BE">
      <w:pPr>
        <w:ind w:firstLine="1080"/>
        <w:jc w:val="both"/>
        <w:rPr>
          <w:b/>
          <w:sz w:val="28"/>
          <w:szCs w:val="28"/>
        </w:rPr>
      </w:pPr>
    </w:p>
    <w:p w:rsidR="00B763BE" w:rsidRDefault="00B763BE" w:rsidP="00B763BE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сведений о расходах является обязанностью лиц, замещающих муниципальные должности,  муниципальных служащих, для которых установлена обязанность </w:t>
      </w:r>
      <w:proofErr w:type="gramStart"/>
      <w:r>
        <w:rPr>
          <w:b/>
          <w:sz w:val="28"/>
          <w:szCs w:val="28"/>
        </w:rPr>
        <w:t>представлять</w:t>
      </w:r>
      <w:proofErr w:type="gramEnd"/>
      <w:r>
        <w:rPr>
          <w:b/>
          <w:sz w:val="28"/>
          <w:szCs w:val="28"/>
        </w:rPr>
        <w:t xml:space="preserve"> сведения о своих доходах, об имуществе и обязательствах имущественного характера (далее – сведения о доходах), а также о доходах своих супруги (супруга) и несовершеннолетних детей.</w:t>
      </w:r>
    </w:p>
    <w:p w:rsidR="00B763BE" w:rsidRDefault="00B763BE" w:rsidP="00B763BE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B763BE" w:rsidRDefault="00B763BE" w:rsidP="00B763BE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расходах лиц, представляются в отдел кадров администрации МО Оренбургский район, либо специалисту, ответственному за кадровую работу в структурном подразделении администрации.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представляются в случае, если: сделка совершена в отчетный период с 1 января 2013 года по  31 декабря 2013 года, либо в последующие отчетные периоды (с 1 января 2014 года по 31 декабря 2014 года и т.д.). 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сделок в 2011 году или ранее сведения о расходах не представляются.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представляются: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заполнения соответствующей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справки</w:t>
        </w:r>
      </w:hyperlink>
      <w:r>
        <w:rPr>
          <w:sz w:val="28"/>
          <w:szCs w:val="28"/>
        </w:rPr>
        <w:t xml:space="preserve"> (далее – справка о расходах), форма которой утверждена Указом Президента Российской Федерации от 2 апреля 2013 года № 310 «О мерах по реализации отдельных положений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Указ Президента Российской Федерации № 310);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-одновременно со сведениями о доходах;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 справке о расходах прилагается копия договора или иного документа о приобретении права собственности.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</w:p>
    <w:p w:rsidR="00B763BE" w:rsidRDefault="00B763BE" w:rsidP="00B763BE">
      <w:pPr>
        <w:ind w:firstLine="1080"/>
        <w:jc w:val="both"/>
        <w:rPr>
          <w:sz w:val="28"/>
          <w:szCs w:val="28"/>
        </w:rPr>
      </w:pPr>
    </w:p>
    <w:p w:rsidR="00B763BE" w:rsidRDefault="00B763BE" w:rsidP="00B763BE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если сумма одной (каждой) сделки НЕ превышает общий доход  муниципального служащего и его супруги (супруга) за три последних года, предшествующих совершению сделки, то вместе со справкой о доходах представляется </w:t>
      </w:r>
      <w:r>
        <w:rPr>
          <w:b/>
          <w:sz w:val="28"/>
          <w:szCs w:val="28"/>
          <w:u w:val="single"/>
        </w:rPr>
        <w:t>пояснительная записка,</w:t>
      </w:r>
      <w:r>
        <w:rPr>
          <w:b/>
          <w:sz w:val="28"/>
          <w:szCs w:val="28"/>
        </w:rPr>
        <w:t xml:space="preserve"> оформленная в произвольной форме.</w:t>
      </w:r>
    </w:p>
    <w:p w:rsidR="00B763BE" w:rsidRDefault="00B763BE" w:rsidP="00B763BE">
      <w:pPr>
        <w:ind w:firstLine="1080"/>
        <w:jc w:val="both"/>
        <w:rPr>
          <w:b/>
          <w:sz w:val="28"/>
          <w:szCs w:val="28"/>
        </w:rPr>
      </w:pP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супруга (супруг) муниципального служащего отказывается сообщить (сообщает недостоверные) сведения о стоимости приобретенного ею (</w:t>
      </w:r>
      <w:proofErr w:type="gramStart"/>
      <w:r>
        <w:rPr>
          <w:sz w:val="28"/>
          <w:szCs w:val="28"/>
        </w:rPr>
        <w:t xml:space="preserve">им) </w:t>
      </w:r>
      <w:proofErr w:type="gramEnd"/>
      <w:r>
        <w:rPr>
          <w:sz w:val="28"/>
          <w:szCs w:val="28"/>
        </w:rPr>
        <w:t>имущества, следует принимать во внимание следующее.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в законодательстве Российской Федерации </w:t>
      </w:r>
      <w:r>
        <w:rPr>
          <w:b/>
          <w:sz w:val="28"/>
          <w:szCs w:val="28"/>
        </w:rPr>
        <w:t xml:space="preserve">не предусмотрена возможность </w:t>
      </w:r>
      <w:r>
        <w:rPr>
          <w:sz w:val="28"/>
          <w:szCs w:val="28"/>
        </w:rPr>
        <w:t xml:space="preserve">муниципального служащего, обнаружившего, что в представленной им в кадровую службу  справке </w:t>
      </w:r>
      <w:r>
        <w:rPr>
          <w:b/>
          <w:sz w:val="28"/>
          <w:szCs w:val="28"/>
        </w:rPr>
        <w:t>о расходах</w:t>
      </w:r>
      <w:r>
        <w:rPr>
          <w:sz w:val="28"/>
          <w:szCs w:val="28"/>
        </w:rPr>
        <w:t xml:space="preserve"> не отражены или не полностью отражены какие-либо сведения либо имеются ошибки, представить уточненные сведения о расходах, а также не содержится право обратиться с заявлением о невозможности по объективным причинам представить сведения о расходах своих супруги (супруга) и</w:t>
      </w:r>
      <w:proofErr w:type="gramEnd"/>
      <w:r>
        <w:rPr>
          <w:sz w:val="28"/>
          <w:szCs w:val="28"/>
        </w:rPr>
        <w:t xml:space="preserve"> несовершеннолетних детей.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представленные сведения о расходах, вызывающие сомнения в их достоверности (в том числе на предмет соответствия доходов расходам), </w:t>
      </w:r>
      <w:r>
        <w:rPr>
          <w:b/>
          <w:sz w:val="28"/>
          <w:szCs w:val="28"/>
        </w:rPr>
        <w:t>являются основанием для осуществления проверки</w:t>
      </w:r>
      <w:r>
        <w:rPr>
          <w:sz w:val="28"/>
          <w:szCs w:val="28"/>
        </w:rPr>
        <w:t>.</w:t>
      </w:r>
    </w:p>
    <w:p w:rsidR="00B763BE" w:rsidRDefault="00B763BE" w:rsidP="00B763BE">
      <w:pPr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учетом результатов анализа сведений о доходах супруги (супруга) и несовершеннолетних детей муниципального служащего, наличия заявления муниципального служащего о невозможности по объективным причинам </w:t>
      </w:r>
      <w:r>
        <w:rPr>
          <w:sz w:val="28"/>
          <w:szCs w:val="28"/>
        </w:rPr>
        <w:lastRenderedPageBreak/>
        <w:t xml:space="preserve">представить сведения о доходах своих супруги (супруга) и несовершеннолетних детей, </w:t>
      </w:r>
      <w:r>
        <w:rPr>
          <w:b/>
          <w:sz w:val="28"/>
          <w:szCs w:val="28"/>
        </w:rPr>
        <w:t xml:space="preserve">может приниматься решение о необходимости осуществления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расходами.</w:t>
      </w:r>
    </w:p>
    <w:p w:rsidR="00B763BE" w:rsidRDefault="00B763BE" w:rsidP="00B763BE">
      <w:pPr>
        <w:ind w:firstLine="1080"/>
        <w:jc w:val="both"/>
        <w:rPr>
          <w:b/>
          <w:sz w:val="28"/>
          <w:szCs w:val="28"/>
        </w:rPr>
      </w:pP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представления сведений о расходах</w:t>
      </w:r>
      <w:r>
        <w:rPr>
          <w:sz w:val="28"/>
          <w:szCs w:val="28"/>
        </w:rPr>
        <w:t>: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сделки в 2012 году – до 1 июля 2013 года;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сделки в 2013 году – до 30 апреля 2014 года.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Период, за который учитываются доходы лица муниципального служащего и его супруги (супруга) для определения их общего дохода.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расчете общего дохода муниципального служащего, представляющего сведения о расходах за 2013 год, и его супруги (супруга) суммируются доходы, полученные ими за отчетные периоды (с 1 января по 31 декабря 2010, 2011, 2012 годов) вне зависимости от того, замещал ли (занимал ли) муниципальный служащий должности, включенные в перечни, весь обозначенный период или нет, а также вне зависимости от места осуществления</w:t>
      </w:r>
      <w:proofErr w:type="gramEnd"/>
      <w:r>
        <w:rPr>
          <w:sz w:val="28"/>
          <w:szCs w:val="28"/>
        </w:rPr>
        <w:t xml:space="preserve"> трудовой деятельности (на территории Российской Федерации, за рубежом). При этом доход за 2013 год может также являться источником получения средств, за счет которых приобретено имущество, что указывается в справке о расходах (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ссылка 4</w:t>
        </w:r>
      </w:hyperlink>
      <w:r>
        <w:rPr>
          <w:sz w:val="28"/>
          <w:szCs w:val="28"/>
        </w:rPr>
        <w:t xml:space="preserve"> к справке о расходах).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</w:p>
    <w:p w:rsidR="00B763BE" w:rsidRDefault="00B763BE" w:rsidP="00B763BE">
      <w:pPr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заполнения справки о расходах.</w:t>
      </w:r>
    </w:p>
    <w:p w:rsidR="00B763BE" w:rsidRDefault="00B763BE" w:rsidP="00B763BE">
      <w:pPr>
        <w:ind w:firstLine="1080"/>
        <w:jc w:val="both"/>
        <w:rPr>
          <w:sz w:val="28"/>
          <w:szCs w:val="28"/>
          <w:u w:val="single"/>
        </w:rPr>
      </w:pP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строки «Источниками получения средств, за счет которых приобретено имущество, являются» подлежат отражению все источники получения средств с указанием сумм, полученных от каждого источника. В данном случае законодательством не предусмотрено представление документов, подтверждающих источники получения средств.</w:t>
      </w:r>
    </w:p>
    <w:p w:rsidR="00B763BE" w:rsidRDefault="00B763BE" w:rsidP="00B763B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приобретения вышеуказанного имущества были использованы доходы (часть дохода) несовершеннолетних детей, данный факт указывается в справке о расходах в качестве источника получения средств, за счет которых приобретено имущество (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ссылка 4</w:t>
        </w:r>
      </w:hyperlink>
      <w:r>
        <w:rPr>
          <w:sz w:val="28"/>
          <w:szCs w:val="28"/>
        </w:rPr>
        <w:t xml:space="preserve"> к справке о расходах).</w:t>
      </w:r>
    </w:p>
    <w:p w:rsidR="00B763BE" w:rsidRDefault="00B763BE" w:rsidP="00B763BE">
      <w:pPr>
        <w:pStyle w:val="Style7"/>
        <w:widowControl/>
        <w:ind w:firstLine="1080"/>
        <w:rPr>
          <w:sz w:val="28"/>
          <w:szCs w:val="28"/>
        </w:rPr>
      </w:pPr>
    </w:p>
    <w:p w:rsidR="00B763BE" w:rsidRDefault="00B763BE" w:rsidP="00B763BE">
      <w:pPr>
        <w:pStyle w:val="Style7"/>
        <w:widowControl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</w:t>
      </w:r>
    </w:p>
    <w:p w:rsidR="00B763BE" w:rsidRDefault="00B763BE" w:rsidP="00B763BE">
      <w:pPr>
        <w:pStyle w:val="Style7"/>
        <w:widowControl/>
        <w:ind w:firstLine="1080"/>
        <w:rPr>
          <w:sz w:val="28"/>
          <w:szCs w:val="28"/>
        </w:rPr>
      </w:pPr>
    </w:p>
    <w:p w:rsidR="00B763BE" w:rsidRDefault="00B763BE" w:rsidP="00B763BE">
      <w:pPr>
        <w:pStyle w:val="Style7"/>
        <w:widowControl/>
        <w:ind w:firstLine="1080"/>
        <w:rPr>
          <w:sz w:val="28"/>
          <w:szCs w:val="28"/>
        </w:rPr>
      </w:pPr>
    </w:p>
    <w:p w:rsidR="00265C06" w:rsidRDefault="00265C06"/>
    <w:sectPr w:rsidR="0026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7"/>
    <w:rsid w:val="00265C06"/>
    <w:rsid w:val="00B763BE"/>
    <w:rsid w:val="00E1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63BE"/>
    <w:rPr>
      <w:color w:val="0000FF"/>
      <w:u w:val="single"/>
    </w:rPr>
  </w:style>
  <w:style w:type="paragraph" w:customStyle="1" w:styleId="Style5">
    <w:name w:val="Style5"/>
    <w:basedOn w:val="a"/>
    <w:rsid w:val="00B763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763BE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B763BE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basedOn w:val="a0"/>
    <w:rsid w:val="00B763BE"/>
    <w:rPr>
      <w:rFonts w:ascii="Times New Roman" w:hAnsi="Times New Roman" w:cs="Times New Roman" w:hint="default"/>
      <w:b/>
      <w:bCs/>
      <w:sz w:val="48"/>
      <w:szCs w:val="48"/>
      <w:lang w:val="ru-RU" w:eastAsia="ru-RU" w:bidi="ar-SA"/>
    </w:rPr>
  </w:style>
  <w:style w:type="character" w:customStyle="1" w:styleId="FontStyle33">
    <w:name w:val="Font Style33"/>
    <w:basedOn w:val="a0"/>
    <w:rsid w:val="00B763BE"/>
    <w:rPr>
      <w:rFonts w:ascii="Times New Roman" w:hAnsi="Times New Roman" w:cs="Times New Roman" w:hint="default"/>
      <w:b/>
      <w:bCs/>
      <w:sz w:val="26"/>
      <w:szCs w:val="26"/>
      <w:lang w:val="ru-RU" w:eastAsia="ru-RU" w:bidi="ar-SA"/>
    </w:rPr>
  </w:style>
  <w:style w:type="character" w:customStyle="1" w:styleId="FontStyle35">
    <w:name w:val="Font Style35"/>
    <w:basedOn w:val="a0"/>
    <w:rsid w:val="00B763BE"/>
    <w:rPr>
      <w:rFonts w:ascii="Times New Roman" w:hAnsi="Times New Roman" w:cs="Times New Roman" w:hint="default"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63BE"/>
    <w:rPr>
      <w:color w:val="0000FF"/>
      <w:u w:val="single"/>
    </w:rPr>
  </w:style>
  <w:style w:type="paragraph" w:customStyle="1" w:styleId="Style5">
    <w:name w:val="Style5"/>
    <w:basedOn w:val="a"/>
    <w:rsid w:val="00B763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763BE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B763BE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basedOn w:val="a0"/>
    <w:rsid w:val="00B763BE"/>
    <w:rPr>
      <w:rFonts w:ascii="Times New Roman" w:hAnsi="Times New Roman" w:cs="Times New Roman" w:hint="default"/>
      <w:b/>
      <w:bCs/>
      <w:sz w:val="48"/>
      <w:szCs w:val="48"/>
      <w:lang w:val="ru-RU" w:eastAsia="ru-RU" w:bidi="ar-SA"/>
    </w:rPr>
  </w:style>
  <w:style w:type="character" w:customStyle="1" w:styleId="FontStyle33">
    <w:name w:val="Font Style33"/>
    <w:basedOn w:val="a0"/>
    <w:rsid w:val="00B763BE"/>
    <w:rPr>
      <w:rFonts w:ascii="Times New Roman" w:hAnsi="Times New Roman" w:cs="Times New Roman" w:hint="default"/>
      <w:b/>
      <w:bCs/>
      <w:sz w:val="26"/>
      <w:szCs w:val="26"/>
      <w:lang w:val="ru-RU" w:eastAsia="ru-RU" w:bidi="ar-SA"/>
    </w:rPr>
  </w:style>
  <w:style w:type="character" w:customStyle="1" w:styleId="FontStyle35">
    <w:name w:val="Font Style35"/>
    <w:basedOn w:val="a0"/>
    <w:rsid w:val="00B763BE"/>
    <w:rPr>
      <w:rFonts w:ascii="Times New Roman" w:hAnsi="Times New Roman" w:cs="Times New Roman" w:hint="default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980/?dst=100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980/?dst=100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?dst=1000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38550/?dst=1000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980/?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2016-09-29T12:33:00Z</dcterms:created>
  <dcterms:modified xsi:type="dcterms:W3CDTF">2016-09-29T12:34:00Z</dcterms:modified>
</cp:coreProperties>
</file>